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0DDF" w14:textId="2D604E34" w:rsidR="00C04F1A" w:rsidRPr="00C04F1A" w:rsidRDefault="00C04F1A" w:rsidP="00C04F1A">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C04F1A">
        <w:rPr>
          <w:rFonts w:ascii="Lato" w:eastAsia="Times New Roman" w:hAnsi="Lato" w:cs="Times New Roman"/>
          <w:color w:val="CC3300"/>
          <w:kern w:val="36"/>
          <w:sz w:val="36"/>
          <w:szCs w:val="36"/>
          <w:lang w:eastAsia="fr-BE"/>
          <w14:ligatures w14:val="none"/>
        </w:rPr>
        <w:t>Lithium</w:t>
      </w:r>
      <w:r>
        <w:rPr>
          <w:rFonts w:ascii="Lato" w:eastAsia="Times New Roman" w:hAnsi="Lato" w:cs="Times New Roman"/>
          <w:color w:val="CC3300"/>
          <w:kern w:val="36"/>
          <w:sz w:val="36"/>
          <w:szCs w:val="36"/>
          <w:lang w:eastAsia="fr-BE"/>
          <w14:ligatures w14:val="none"/>
        </w:rPr>
        <w:t xml:space="preserve">, </w:t>
      </w:r>
      <w:r w:rsidRPr="00C04F1A">
        <w:rPr>
          <w:rFonts w:ascii="Lato" w:eastAsia="Times New Roman" w:hAnsi="Lato" w:cs="Times New Roman"/>
          <w:color w:val="CC3300"/>
          <w:kern w:val="36"/>
          <w:sz w:val="36"/>
          <w:szCs w:val="36"/>
          <w:lang w:eastAsia="fr-BE"/>
          <w14:ligatures w14:val="none"/>
        </w:rPr>
        <w:t>l’Europe se donne les moyens de ses ambitions</w:t>
      </w:r>
    </w:p>
    <w:p w14:paraId="2D6270DB" w14:textId="77777777" w:rsidR="00C04F1A" w:rsidRPr="00C04F1A" w:rsidRDefault="00C04F1A" w:rsidP="00C04F1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04F1A">
        <w:rPr>
          <w:rFonts w:ascii="Lato" w:eastAsia="Times New Roman" w:hAnsi="Lato" w:cs="Times New Roman"/>
          <w:color w:val="000000"/>
          <w:kern w:val="0"/>
          <w:sz w:val="23"/>
          <w:szCs w:val="23"/>
          <w:lang w:eastAsia="fr-BE"/>
          <w14:ligatures w14:val="none"/>
        </w:rPr>
        <w:t>Durant la </w:t>
      </w:r>
      <w:r w:rsidRPr="00C04F1A">
        <w:rPr>
          <w:rFonts w:ascii="Lato" w:eastAsia="Times New Roman" w:hAnsi="Lato" w:cs="Times New Roman"/>
          <w:i/>
          <w:iCs/>
          <w:color w:val="000000"/>
          <w:kern w:val="0"/>
          <w:sz w:val="23"/>
          <w:szCs w:val="23"/>
          <w:lang w:eastAsia="fr-BE"/>
          <w14:ligatures w14:val="none"/>
        </w:rPr>
        <w:t>Semaine du LME</w:t>
      </w:r>
      <w:r w:rsidRPr="00C04F1A">
        <w:rPr>
          <w:rFonts w:ascii="Lato" w:eastAsia="Times New Roman" w:hAnsi="Lato" w:cs="Times New Roman"/>
          <w:color w:val="000000"/>
          <w:kern w:val="0"/>
          <w:sz w:val="23"/>
          <w:szCs w:val="23"/>
          <w:lang w:eastAsia="fr-BE"/>
          <w14:ligatures w14:val="none"/>
        </w:rPr>
        <w:t>, plusieurs annonces ont été faites concernant le marché du lithium. Même si de nombreux obstacles demeurent, l’Europe semble mesurer l’importance d’assurer son approvisionnement, et ainsi, se défaire de sa dépendance à l’égard de la Chine.</w:t>
      </w:r>
    </w:p>
    <w:p w14:paraId="349055DB" w14:textId="77777777" w:rsidR="00C04F1A" w:rsidRPr="00C04F1A" w:rsidRDefault="00C04F1A" w:rsidP="00C04F1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04F1A">
        <w:rPr>
          <w:rFonts w:ascii="Lato" w:eastAsia="Times New Roman" w:hAnsi="Lato" w:cs="Times New Roman"/>
          <w:color w:val="000000"/>
          <w:kern w:val="0"/>
          <w:sz w:val="23"/>
          <w:szCs w:val="23"/>
          <w:lang w:eastAsia="fr-BE"/>
          <w14:ligatures w14:val="none"/>
        </w:rPr>
        <w:t> </w:t>
      </w:r>
    </w:p>
    <w:p w14:paraId="203A734D" w14:textId="77777777" w:rsidR="00C04F1A" w:rsidRPr="00C04F1A" w:rsidRDefault="00C04F1A" w:rsidP="00C04F1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04F1A">
        <w:rPr>
          <w:rFonts w:ascii="Lato" w:eastAsia="Times New Roman" w:hAnsi="Lato" w:cs="Times New Roman"/>
          <w:b/>
          <w:bCs/>
          <w:color w:val="A52A2A"/>
          <w:kern w:val="0"/>
          <w:sz w:val="23"/>
          <w:szCs w:val="23"/>
          <w:lang w:eastAsia="fr-BE"/>
          <w14:ligatures w14:val="none"/>
        </w:rPr>
        <w:t xml:space="preserve">Lithium : les projets européens se </w:t>
      </w:r>
      <w:proofErr w:type="spellStart"/>
      <w:r w:rsidRPr="00C04F1A">
        <w:rPr>
          <w:rFonts w:ascii="Lato" w:eastAsia="Times New Roman" w:hAnsi="Lato" w:cs="Times New Roman"/>
          <w:b/>
          <w:bCs/>
          <w:color w:val="A52A2A"/>
          <w:kern w:val="0"/>
          <w:sz w:val="23"/>
          <w:szCs w:val="23"/>
          <w:lang w:eastAsia="fr-BE"/>
          <w14:ligatures w14:val="none"/>
        </w:rPr>
        <w:t>mutliplient</w:t>
      </w:r>
      <w:proofErr w:type="spellEnd"/>
    </w:p>
    <w:p w14:paraId="7D66020C" w14:textId="77777777" w:rsidR="00C04F1A" w:rsidRPr="00C04F1A" w:rsidRDefault="00C04F1A" w:rsidP="00C04F1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04F1A">
        <w:rPr>
          <w:rFonts w:ascii="Lato" w:eastAsia="Times New Roman" w:hAnsi="Lato" w:cs="Times New Roman"/>
          <w:color w:val="000000"/>
          <w:kern w:val="0"/>
          <w:sz w:val="23"/>
          <w:szCs w:val="23"/>
          <w:lang w:eastAsia="fr-BE"/>
          <w14:ligatures w14:val="none"/>
        </w:rPr>
        <w:t>Plusieurs annonces faites au cours de la </w:t>
      </w:r>
      <w:r w:rsidRPr="00C04F1A">
        <w:rPr>
          <w:rFonts w:ascii="Lato" w:eastAsia="Times New Roman" w:hAnsi="Lato" w:cs="Times New Roman"/>
          <w:i/>
          <w:iCs/>
          <w:color w:val="000000"/>
          <w:kern w:val="0"/>
          <w:sz w:val="23"/>
          <w:szCs w:val="23"/>
          <w:lang w:eastAsia="fr-BE"/>
          <w14:ligatures w14:val="none"/>
        </w:rPr>
        <w:t>Semaine du LME</w:t>
      </w:r>
      <w:r w:rsidRPr="00C04F1A">
        <w:rPr>
          <w:rFonts w:ascii="Lato" w:eastAsia="Times New Roman" w:hAnsi="Lato" w:cs="Times New Roman"/>
          <w:color w:val="000000"/>
          <w:kern w:val="0"/>
          <w:sz w:val="23"/>
          <w:szCs w:val="23"/>
          <w:lang w:eastAsia="fr-BE"/>
          <w14:ligatures w14:val="none"/>
        </w:rPr>
        <w:t> soulignent les efforts fournis par l’Europe pour sécuriser sa chaîne d’approvisionnement en lithium. Au Royaume-Uni, </w:t>
      </w:r>
      <w:proofErr w:type="spellStart"/>
      <w:r w:rsidRPr="00C04F1A">
        <w:rPr>
          <w:rFonts w:ascii="Lato" w:eastAsia="Times New Roman" w:hAnsi="Lato" w:cs="Times New Roman"/>
          <w:b/>
          <w:bCs/>
          <w:color w:val="000000"/>
          <w:kern w:val="0"/>
          <w:sz w:val="23"/>
          <w:szCs w:val="23"/>
          <w:lang w:eastAsia="fr-BE"/>
          <w14:ligatures w14:val="none"/>
        </w:rPr>
        <w:t>Northern</w:t>
      </w:r>
      <w:proofErr w:type="spellEnd"/>
      <w:r w:rsidRPr="00C04F1A">
        <w:rPr>
          <w:rFonts w:ascii="Lato" w:eastAsia="Times New Roman" w:hAnsi="Lato" w:cs="Times New Roman"/>
          <w:b/>
          <w:bCs/>
          <w:color w:val="000000"/>
          <w:kern w:val="0"/>
          <w:sz w:val="23"/>
          <w:szCs w:val="23"/>
          <w:lang w:eastAsia="fr-BE"/>
          <w14:ligatures w14:val="none"/>
        </w:rPr>
        <w:t xml:space="preserve"> Lithium </w:t>
      </w:r>
      <w:r w:rsidRPr="00C04F1A">
        <w:rPr>
          <w:rFonts w:ascii="Lato" w:eastAsia="Times New Roman" w:hAnsi="Lato" w:cs="Times New Roman"/>
          <w:color w:val="000000"/>
          <w:kern w:val="0"/>
          <w:sz w:val="23"/>
          <w:szCs w:val="23"/>
          <w:lang w:eastAsia="fr-BE"/>
          <w14:ligatures w14:val="none"/>
        </w:rPr>
        <w:t>a annoncé un partenariat avec le Japonais </w:t>
      </w:r>
      <w:proofErr w:type="spellStart"/>
      <w:r w:rsidRPr="00C04F1A">
        <w:rPr>
          <w:rFonts w:ascii="Lato" w:eastAsia="Times New Roman" w:hAnsi="Lato" w:cs="Times New Roman"/>
          <w:b/>
          <w:bCs/>
          <w:color w:val="000000"/>
          <w:kern w:val="0"/>
          <w:sz w:val="23"/>
          <w:szCs w:val="23"/>
          <w:lang w:eastAsia="fr-BE"/>
          <w14:ligatures w14:val="none"/>
        </w:rPr>
        <w:t>Kurita</w:t>
      </w:r>
      <w:proofErr w:type="spellEnd"/>
      <w:r w:rsidRPr="00C04F1A">
        <w:rPr>
          <w:rFonts w:ascii="Lato" w:eastAsia="Times New Roman" w:hAnsi="Lato" w:cs="Times New Roman"/>
          <w:b/>
          <w:bCs/>
          <w:color w:val="000000"/>
          <w:kern w:val="0"/>
          <w:sz w:val="23"/>
          <w:szCs w:val="23"/>
          <w:lang w:eastAsia="fr-BE"/>
          <w14:ligatures w14:val="none"/>
        </w:rPr>
        <w:t xml:space="preserve"> Water Industries</w:t>
      </w:r>
      <w:r w:rsidRPr="00C04F1A">
        <w:rPr>
          <w:rFonts w:ascii="Lato" w:eastAsia="Times New Roman" w:hAnsi="Lato" w:cs="Times New Roman"/>
          <w:color w:val="000000"/>
          <w:kern w:val="0"/>
          <w:sz w:val="23"/>
          <w:szCs w:val="23"/>
          <w:lang w:eastAsia="fr-BE"/>
          <w14:ligatures w14:val="none"/>
        </w:rPr>
        <w:t> et le groupe britannique </w:t>
      </w:r>
      <w:proofErr w:type="spellStart"/>
      <w:r w:rsidRPr="00C04F1A">
        <w:rPr>
          <w:rFonts w:ascii="Lato" w:eastAsia="Times New Roman" w:hAnsi="Lato" w:cs="Times New Roman"/>
          <w:b/>
          <w:bCs/>
          <w:color w:val="000000"/>
          <w:kern w:val="0"/>
          <w:sz w:val="23"/>
          <w:szCs w:val="23"/>
          <w:lang w:eastAsia="fr-BE"/>
          <w14:ligatures w14:val="none"/>
        </w:rPr>
        <w:t>Evove</w:t>
      </w:r>
      <w:proofErr w:type="spellEnd"/>
      <w:r w:rsidRPr="00C04F1A">
        <w:rPr>
          <w:rFonts w:ascii="Lato" w:eastAsia="Times New Roman" w:hAnsi="Lato" w:cs="Times New Roman"/>
          <w:color w:val="000000"/>
          <w:kern w:val="0"/>
          <w:sz w:val="23"/>
          <w:szCs w:val="23"/>
          <w:lang w:eastAsia="fr-BE"/>
          <w14:ligatures w14:val="none"/>
        </w:rPr>
        <w:t>, qui lui permettra de produire du lithium d’ici fin 2027. La production s’élèvera à 500 tonnes par an et sera progressivement augmentée pour atteindre plus de 20 000 tonnes par an d’ici à 2035. En Allemagne, </w:t>
      </w:r>
      <w:r w:rsidRPr="00C04F1A">
        <w:rPr>
          <w:rFonts w:ascii="Lato" w:eastAsia="Times New Roman" w:hAnsi="Lato" w:cs="Times New Roman"/>
          <w:b/>
          <w:bCs/>
          <w:color w:val="000000"/>
          <w:kern w:val="0"/>
          <w:sz w:val="23"/>
          <w:szCs w:val="23"/>
          <w:lang w:eastAsia="fr-BE"/>
          <w14:ligatures w14:val="none"/>
        </w:rPr>
        <w:t>AMG Lithium</w:t>
      </w:r>
      <w:r w:rsidRPr="00C04F1A">
        <w:rPr>
          <w:rFonts w:ascii="Lato" w:eastAsia="Times New Roman" w:hAnsi="Lato" w:cs="Times New Roman"/>
          <w:color w:val="000000"/>
          <w:kern w:val="0"/>
          <w:sz w:val="23"/>
          <w:szCs w:val="23"/>
          <w:lang w:eastAsia="fr-BE"/>
          <w14:ligatures w14:val="none"/>
        </w:rPr>
        <w:t> a indiqué avoir signé un protocole d’accord avec </w:t>
      </w:r>
      <w:proofErr w:type="spellStart"/>
      <w:r w:rsidRPr="00C04F1A">
        <w:rPr>
          <w:rFonts w:ascii="Lato" w:eastAsia="Times New Roman" w:hAnsi="Lato" w:cs="Times New Roman"/>
          <w:b/>
          <w:bCs/>
          <w:color w:val="000000"/>
          <w:kern w:val="0"/>
          <w:sz w:val="23"/>
          <w:szCs w:val="23"/>
          <w:lang w:eastAsia="fr-BE"/>
          <w14:ligatures w14:val="none"/>
        </w:rPr>
        <w:t>Easpring</w:t>
      </w:r>
      <w:proofErr w:type="spellEnd"/>
      <w:r w:rsidRPr="00C04F1A">
        <w:rPr>
          <w:rFonts w:ascii="Lato" w:eastAsia="Times New Roman" w:hAnsi="Lato" w:cs="Times New Roman"/>
          <w:color w:val="000000"/>
          <w:kern w:val="0"/>
          <w:sz w:val="23"/>
          <w:szCs w:val="23"/>
          <w:lang w:eastAsia="fr-BE"/>
          <w14:ligatures w14:val="none"/>
        </w:rPr>
        <w:t>, producteur chinois de matériaux actifs pour cathodes, pour fournir de l’</w:t>
      </w:r>
      <w:r w:rsidRPr="00C04F1A">
        <w:rPr>
          <w:rFonts w:ascii="Lato" w:eastAsia="Times New Roman" w:hAnsi="Lato" w:cs="Times New Roman"/>
          <w:color w:val="000000"/>
          <w:kern w:val="0"/>
          <w:sz w:val="23"/>
          <w:szCs w:val="23"/>
          <w:u w:val="single"/>
          <w:lang w:eastAsia="fr-BE"/>
          <w14:ligatures w14:val="none"/>
        </w:rPr>
        <w:t>hydroxyde de lithium monohydraté</w:t>
      </w:r>
      <w:r w:rsidRPr="00C04F1A">
        <w:rPr>
          <w:rFonts w:ascii="Lato" w:eastAsia="Times New Roman" w:hAnsi="Lato" w:cs="Times New Roman"/>
          <w:color w:val="000000"/>
          <w:kern w:val="0"/>
          <w:sz w:val="23"/>
          <w:szCs w:val="23"/>
          <w:lang w:eastAsia="fr-BE"/>
          <w14:ligatures w14:val="none"/>
        </w:rPr>
        <w:t xml:space="preserve"> provenant de la raffinerie AMG, située à </w:t>
      </w:r>
      <w:proofErr w:type="spellStart"/>
      <w:r w:rsidRPr="00C04F1A">
        <w:rPr>
          <w:rFonts w:ascii="Lato" w:eastAsia="Times New Roman" w:hAnsi="Lato" w:cs="Times New Roman"/>
          <w:color w:val="000000"/>
          <w:kern w:val="0"/>
          <w:sz w:val="23"/>
          <w:szCs w:val="23"/>
          <w:lang w:eastAsia="fr-BE"/>
          <w14:ligatures w14:val="none"/>
        </w:rPr>
        <w:t>Bitterfeld</w:t>
      </w:r>
      <w:proofErr w:type="spellEnd"/>
      <w:r w:rsidRPr="00C04F1A">
        <w:rPr>
          <w:rFonts w:ascii="Lato" w:eastAsia="Times New Roman" w:hAnsi="Lato" w:cs="Times New Roman"/>
          <w:color w:val="000000"/>
          <w:kern w:val="0"/>
          <w:sz w:val="23"/>
          <w:szCs w:val="23"/>
          <w:lang w:eastAsia="fr-BE"/>
          <w14:ligatures w14:val="none"/>
        </w:rPr>
        <w:t>, en Allemagne. </w:t>
      </w:r>
      <w:r w:rsidRPr="00C04F1A">
        <w:rPr>
          <w:rFonts w:ascii="Lato" w:eastAsia="Times New Roman" w:hAnsi="Lato" w:cs="Times New Roman"/>
          <w:b/>
          <w:bCs/>
          <w:color w:val="000000"/>
          <w:kern w:val="0"/>
          <w:sz w:val="23"/>
          <w:szCs w:val="23"/>
          <w:lang w:eastAsia="fr-BE"/>
          <w14:ligatures w14:val="none"/>
        </w:rPr>
        <w:t>Vulcan Energy</w:t>
      </w:r>
      <w:r w:rsidRPr="00C04F1A">
        <w:rPr>
          <w:rFonts w:ascii="Lato" w:eastAsia="Times New Roman" w:hAnsi="Lato" w:cs="Times New Roman"/>
          <w:color w:val="000000"/>
          <w:kern w:val="0"/>
          <w:sz w:val="23"/>
          <w:szCs w:val="23"/>
          <w:lang w:eastAsia="fr-BE"/>
          <w14:ligatures w14:val="none"/>
        </w:rPr>
        <w:t> a, par ailleurs, signé un accord ferme d’achat avec </w:t>
      </w:r>
      <w:proofErr w:type="spellStart"/>
      <w:r w:rsidRPr="00C04F1A">
        <w:rPr>
          <w:rFonts w:ascii="Lato" w:eastAsia="Times New Roman" w:hAnsi="Lato" w:cs="Times New Roman"/>
          <w:b/>
          <w:bCs/>
          <w:color w:val="000000"/>
          <w:kern w:val="0"/>
          <w:sz w:val="23"/>
          <w:szCs w:val="23"/>
          <w:lang w:eastAsia="fr-BE"/>
          <w14:ligatures w14:val="none"/>
        </w:rPr>
        <w:t>Glencore</w:t>
      </w:r>
      <w:proofErr w:type="spellEnd"/>
      <w:r w:rsidRPr="00C04F1A">
        <w:rPr>
          <w:rFonts w:ascii="Lato" w:eastAsia="Times New Roman" w:hAnsi="Lato" w:cs="Times New Roman"/>
          <w:b/>
          <w:bCs/>
          <w:color w:val="000000"/>
          <w:kern w:val="0"/>
          <w:sz w:val="23"/>
          <w:szCs w:val="23"/>
          <w:lang w:eastAsia="fr-BE"/>
          <w14:ligatures w14:val="none"/>
        </w:rPr>
        <w:t> </w:t>
      </w:r>
      <w:r w:rsidRPr="00C04F1A">
        <w:rPr>
          <w:rFonts w:ascii="Lato" w:eastAsia="Times New Roman" w:hAnsi="Lato" w:cs="Times New Roman"/>
          <w:color w:val="000000"/>
          <w:kern w:val="0"/>
          <w:sz w:val="23"/>
          <w:szCs w:val="23"/>
          <w:lang w:eastAsia="fr-BE"/>
          <w14:ligatures w14:val="none"/>
        </w:rPr>
        <w:t>pour 36 000 à 44 000 tonnes d’</w:t>
      </w:r>
      <w:r w:rsidRPr="00C04F1A">
        <w:rPr>
          <w:rFonts w:ascii="Lato" w:eastAsia="Times New Roman" w:hAnsi="Lato" w:cs="Times New Roman"/>
          <w:color w:val="000000"/>
          <w:kern w:val="0"/>
          <w:sz w:val="23"/>
          <w:szCs w:val="23"/>
          <w:u w:val="single"/>
          <w:lang w:eastAsia="fr-BE"/>
          <w14:ligatures w14:val="none"/>
        </w:rPr>
        <w:t>hydroxyde de lithium</w:t>
      </w:r>
      <w:r w:rsidRPr="00C04F1A">
        <w:rPr>
          <w:rFonts w:ascii="Lato" w:eastAsia="Times New Roman" w:hAnsi="Lato" w:cs="Times New Roman"/>
          <w:color w:val="000000"/>
          <w:kern w:val="0"/>
          <w:sz w:val="23"/>
          <w:szCs w:val="23"/>
          <w:lang w:eastAsia="fr-BE"/>
          <w14:ligatures w14:val="none"/>
        </w:rPr>
        <w:t> sur huit ans. Ces trois projets illustrent la dynamique croissante de la chaîne d’approvisionnement européenne en batteries au lithium, notamment en matière de réduction des risques, de financement grâce à des accords d’achat et des partenariats, ainsi qu’en matière d’intégration verticale reliant l’extraction, le raffinage et la production de cathodes. Les participants à la </w:t>
      </w:r>
      <w:r w:rsidRPr="00C04F1A">
        <w:rPr>
          <w:rFonts w:ascii="Lato" w:eastAsia="Times New Roman" w:hAnsi="Lato" w:cs="Times New Roman"/>
          <w:i/>
          <w:iCs/>
          <w:color w:val="000000"/>
          <w:kern w:val="0"/>
          <w:sz w:val="23"/>
          <w:szCs w:val="23"/>
          <w:lang w:eastAsia="fr-BE"/>
          <w14:ligatures w14:val="none"/>
        </w:rPr>
        <w:t>Semaine du LME </w:t>
      </w:r>
      <w:r w:rsidRPr="00C04F1A">
        <w:rPr>
          <w:rFonts w:ascii="Lato" w:eastAsia="Times New Roman" w:hAnsi="Lato" w:cs="Times New Roman"/>
          <w:color w:val="000000"/>
          <w:kern w:val="0"/>
          <w:sz w:val="23"/>
          <w:szCs w:val="23"/>
          <w:lang w:eastAsia="fr-BE"/>
          <w14:ligatures w14:val="none"/>
        </w:rPr>
        <w:t>estiment que ces annonces confirment la confiance de l’Europe dans sa capacité à livrer des volumes conséquents de lithium durant la décennie à venir. Après plusieurs années marquées par la volatilité des cours, les entreprises profitent de la période actuelle pour conclure des partenariats et sécuriser l’approvisionnement en vue du prochain rebond de la demande, indiquent des opérateurs. « </w:t>
      </w:r>
      <w:r w:rsidRPr="00C04F1A">
        <w:rPr>
          <w:rFonts w:ascii="Lato" w:eastAsia="Times New Roman" w:hAnsi="Lato" w:cs="Times New Roman"/>
          <w:i/>
          <w:iCs/>
          <w:color w:val="000000"/>
          <w:kern w:val="0"/>
          <w:sz w:val="23"/>
          <w:szCs w:val="23"/>
          <w:lang w:eastAsia="fr-BE"/>
          <w14:ligatures w14:val="none"/>
        </w:rPr>
        <w:t>L’Europe a tardé à construire sa chaîne d’approvisionnement en batteries et doit maintenant accélérer pour rattraper la Chine</w:t>
      </w:r>
      <w:r w:rsidRPr="00C04F1A">
        <w:rPr>
          <w:rFonts w:ascii="Lato" w:eastAsia="Times New Roman" w:hAnsi="Lato" w:cs="Times New Roman"/>
          <w:color w:val="000000"/>
          <w:kern w:val="0"/>
          <w:sz w:val="23"/>
          <w:szCs w:val="23"/>
          <w:lang w:eastAsia="fr-BE"/>
          <w14:ligatures w14:val="none"/>
        </w:rPr>
        <w:t> », commente un négociant présent à la </w:t>
      </w:r>
      <w:r w:rsidRPr="00C04F1A">
        <w:rPr>
          <w:rFonts w:ascii="Lato" w:eastAsia="Times New Roman" w:hAnsi="Lato" w:cs="Times New Roman"/>
          <w:i/>
          <w:iCs/>
          <w:color w:val="000000"/>
          <w:kern w:val="0"/>
          <w:sz w:val="23"/>
          <w:szCs w:val="23"/>
          <w:lang w:eastAsia="fr-BE"/>
          <w14:ligatures w14:val="none"/>
        </w:rPr>
        <w:t>Semaine du LME</w:t>
      </w:r>
      <w:r w:rsidRPr="00C04F1A">
        <w:rPr>
          <w:rFonts w:ascii="Lato" w:eastAsia="Times New Roman" w:hAnsi="Lato" w:cs="Times New Roman"/>
          <w:color w:val="000000"/>
          <w:kern w:val="0"/>
          <w:sz w:val="23"/>
          <w:szCs w:val="23"/>
          <w:lang w:eastAsia="fr-BE"/>
          <w14:ligatures w14:val="none"/>
        </w:rPr>
        <w:t>. « </w:t>
      </w:r>
      <w:r w:rsidRPr="00C04F1A">
        <w:rPr>
          <w:rFonts w:ascii="Lato" w:eastAsia="Times New Roman" w:hAnsi="Lato" w:cs="Times New Roman"/>
          <w:i/>
          <w:iCs/>
          <w:color w:val="000000"/>
          <w:kern w:val="0"/>
          <w:sz w:val="23"/>
          <w:szCs w:val="23"/>
          <w:lang w:eastAsia="fr-BE"/>
          <w14:ligatures w14:val="none"/>
        </w:rPr>
        <w:t>L’Europe doit développer sa capacité minière et investir massivement pour mettre en place toute la chaîne d’approvisionnement, au risque de rester dépendante de la Chine pour le raffinage et la transformation </w:t>
      </w:r>
      <w:r w:rsidRPr="00C04F1A">
        <w:rPr>
          <w:rFonts w:ascii="Lato" w:eastAsia="Times New Roman" w:hAnsi="Lato" w:cs="Times New Roman"/>
          <w:color w:val="000000"/>
          <w:kern w:val="0"/>
          <w:sz w:val="23"/>
          <w:szCs w:val="23"/>
          <w:lang w:eastAsia="fr-BE"/>
          <w14:ligatures w14:val="none"/>
        </w:rPr>
        <w:t>», avertit-il.</w:t>
      </w:r>
    </w:p>
    <w:p w14:paraId="4D698596" w14:textId="77777777" w:rsidR="00C04F1A" w:rsidRPr="00C04F1A" w:rsidRDefault="00C04F1A" w:rsidP="00C04F1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04F1A">
        <w:rPr>
          <w:rFonts w:ascii="Lato" w:eastAsia="Times New Roman" w:hAnsi="Lato" w:cs="Times New Roman"/>
          <w:color w:val="000000"/>
          <w:kern w:val="0"/>
          <w:sz w:val="23"/>
          <w:szCs w:val="23"/>
          <w:lang w:eastAsia="fr-BE"/>
          <w14:ligatures w14:val="none"/>
        </w:rPr>
        <w:t> </w:t>
      </w:r>
    </w:p>
    <w:p w14:paraId="6436B5D0" w14:textId="77777777" w:rsidR="00C04F1A" w:rsidRPr="00C04F1A" w:rsidRDefault="00C04F1A" w:rsidP="00C04F1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04F1A">
        <w:rPr>
          <w:rFonts w:ascii="Lato" w:eastAsia="Times New Roman" w:hAnsi="Lato" w:cs="Times New Roman"/>
          <w:b/>
          <w:bCs/>
          <w:color w:val="A52A2A"/>
          <w:kern w:val="0"/>
          <w:sz w:val="23"/>
          <w:szCs w:val="23"/>
          <w:lang w:eastAsia="fr-BE"/>
          <w14:ligatures w14:val="none"/>
        </w:rPr>
        <w:t>Manganèse : les flocons au sommet</w:t>
      </w:r>
    </w:p>
    <w:p w14:paraId="21E9E31A" w14:textId="77777777" w:rsidR="00C04F1A" w:rsidRPr="00C04F1A" w:rsidRDefault="00C04F1A" w:rsidP="00C04F1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04F1A">
        <w:rPr>
          <w:rFonts w:ascii="Lato" w:eastAsia="Times New Roman" w:hAnsi="Lato" w:cs="Times New Roman"/>
          <w:color w:val="000000"/>
          <w:kern w:val="0"/>
          <w:sz w:val="23"/>
          <w:szCs w:val="23"/>
          <w:lang w:eastAsia="fr-BE"/>
          <w14:ligatures w14:val="none"/>
        </w:rPr>
        <w:t>Les cours chinois à l’exportation des </w:t>
      </w:r>
      <w:r w:rsidRPr="00C04F1A">
        <w:rPr>
          <w:rFonts w:ascii="Lato" w:eastAsia="Times New Roman" w:hAnsi="Lato" w:cs="Times New Roman"/>
          <w:color w:val="000000"/>
          <w:kern w:val="0"/>
          <w:sz w:val="23"/>
          <w:szCs w:val="23"/>
          <w:u w:val="single"/>
          <w:lang w:eastAsia="fr-BE"/>
          <w14:ligatures w14:val="none"/>
        </w:rPr>
        <w:t>flocons de manganèse</w:t>
      </w:r>
      <w:r w:rsidRPr="00C04F1A">
        <w:rPr>
          <w:rFonts w:ascii="Lato" w:eastAsia="Times New Roman" w:hAnsi="Lato" w:cs="Times New Roman"/>
          <w:color w:val="000000"/>
          <w:kern w:val="0"/>
          <w:sz w:val="23"/>
          <w:szCs w:val="23"/>
          <w:lang w:eastAsia="fr-BE"/>
          <w14:ligatures w14:val="none"/>
        </w:rPr>
        <w:t> se sont propulsés à des sommets plus vus depuis 28 mois la semaine dernière, soutenus par un approvisionnement restreint sur le marché spot. Les cours des </w:t>
      </w:r>
      <w:r w:rsidRPr="00C04F1A">
        <w:rPr>
          <w:rFonts w:ascii="Lato" w:eastAsia="Times New Roman" w:hAnsi="Lato" w:cs="Times New Roman"/>
          <w:color w:val="000000"/>
          <w:kern w:val="0"/>
          <w:sz w:val="23"/>
          <w:szCs w:val="23"/>
          <w:u w:val="single"/>
          <w:lang w:eastAsia="fr-BE"/>
          <w14:ligatures w14:val="none"/>
        </w:rPr>
        <w:t>flocons de manganèse 99,7 %</w:t>
      </w:r>
      <w:r w:rsidRPr="00C04F1A">
        <w:rPr>
          <w:rFonts w:ascii="Lato" w:eastAsia="Times New Roman" w:hAnsi="Lato" w:cs="Times New Roman"/>
          <w:color w:val="000000"/>
          <w:kern w:val="0"/>
          <w:sz w:val="23"/>
          <w:szCs w:val="23"/>
          <w:lang w:eastAsia="fr-BE"/>
          <w14:ligatures w14:val="none"/>
        </w:rPr>
        <w:t>, fob Chine, ont ainsi grimpé de 30-50 $ en une semaine pour atteindre 1970-2000 $/tonne, un niveau plus vu depuis juin 2023. Cette flambée des cours à l’exportation découle des faibles disponibilités sur le marché chinois, où les producteurs campent fermement sur leurs positions. La pénurie de métal sur le marché spot a émergé en septembre et les cours n’ont eu de cesse de progresser depuis lors, indiquent des sources du marché.</w:t>
      </w:r>
    </w:p>
    <w:p w14:paraId="24BA1D8F" w14:textId="77777777" w:rsidR="00C04F1A" w:rsidRPr="00C04F1A" w:rsidRDefault="00C04F1A" w:rsidP="00C04F1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04F1A">
        <w:rPr>
          <w:rFonts w:ascii="Lato" w:eastAsia="Times New Roman" w:hAnsi="Lato" w:cs="Times New Roman"/>
          <w:color w:val="000000"/>
          <w:kern w:val="0"/>
          <w:sz w:val="23"/>
          <w:szCs w:val="23"/>
          <w:lang w:eastAsia="fr-BE"/>
          <w14:ligatures w14:val="none"/>
        </w:rPr>
        <w:t> </w:t>
      </w:r>
    </w:p>
    <w:p w14:paraId="130CCADF" w14:textId="77777777" w:rsidR="00C04F1A" w:rsidRPr="00C04F1A" w:rsidRDefault="00C04F1A" w:rsidP="00C04F1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04F1A">
        <w:rPr>
          <w:rFonts w:ascii="Lato" w:eastAsia="Times New Roman" w:hAnsi="Lato" w:cs="Times New Roman"/>
          <w:b/>
          <w:bCs/>
          <w:color w:val="A52A2A"/>
          <w:kern w:val="0"/>
          <w:sz w:val="23"/>
          <w:szCs w:val="23"/>
          <w:lang w:eastAsia="fr-BE"/>
          <w14:ligatures w14:val="none"/>
        </w:rPr>
        <w:t>Cobalt : flambée de l’hydroxyde</w:t>
      </w:r>
    </w:p>
    <w:p w14:paraId="6CCF9145" w14:textId="77777777" w:rsidR="00C04F1A" w:rsidRPr="00C04F1A" w:rsidRDefault="00C04F1A" w:rsidP="00C04F1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04F1A">
        <w:rPr>
          <w:rFonts w:ascii="Lato" w:eastAsia="Times New Roman" w:hAnsi="Lato" w:cs="Times New Roman"/>
          <w:color w:val="000000"/>
          <w:kern w:val="0"/>
          <w:sz w:val="23"/>
          <w:szCs w:val="23"/>
          <w:lang w:eastAsia="fr-BE"/>
          <w14:ligatures w14:val="none"/>
        </w:rPr>
        <w:t>C’est une première historique pour les cours de l’</w:t>
      </w:r>
      <w:r w:rsidRPr="00C04F1A">
        <w:rPr>
          <w:rFonts w:ascii="Lato" w:eastAsia="Times New Roman" w:hAnsi="Lato" w:cs="Times New Roman"/>
          <w:color w:val="000000"/>
          <w:kern w:val="0"/>
          <w:sz w:val="23"/>
          <w:szCs w:val="23"/>
          <w:u w:val="single"/>
          <w:lang w:eastAsia="fr-BE"/>
          <w14:ligatures w14:val="none"/>
        </w:rPr>
        <w:t>hydroxyde de cobalt</w:t>
      </w:r>
      <w:r w:rsidRPr="00C04F1A">
        <w:rPr>
          <w:rFonts w:ascii="Lato" w:eastAsia="Times New Roman" w:hAnsi="Lato" w:cs="Times New Roman"/>
          <w:color w:val="000000"/>
          <w:kern w:val="0"/>
          <w:sz w:val="23"/>
          <w:szCs w:val="23"/>
          <w:lang w:eastAsia="fr-BE"/>
          <w14:ligatures w14:val="none"/>
        </w:rPr>
        <w:t>, qui ont atteint, ces jours-ci, le même niveau que le </w:t>
      </w:r>
      <w:r w:rsidRPr="00C04F1A">
        <w:rPr>
          <w:rFonts w:ascii="Lato" w:eastAsia="Times New Roman" w:hAnsi="Lato" w:cs="Times New Roman"/>
          <w:color w:val="000000"/>
          <w:kern w:val="0"/>
          <w:sz w:val="23"/>
          <w:szCs w:val="23"/>
          <w:u w:val="single"/>
          <w:lang w:eastAsia="fr-BE"/>
          <w14:ligatures w14:val="none"/>
        </w:rPr>
        <w:t>cobalt</w:t>
      </w:r>
      <w:r w:rsidRPr="00C04F1A">
        <w:rPr>
          <w:rFonts w:ascii="Lato" w:eastAsia="Times New Roman" w:hAnsi="Lato" w:cs="Times New Roman"/>
          <w:color w:val="000000"/>
          <w:kern w:val="0"/>
          <w:sz w:val="23"/>
          <w:szCs w:val="23"/>
          <w:lang w:eastAsia="fr-BE"/>
          <w14:ligatures w14:val="none"/>
        </w:rPr>
        <w:t>, à 21 $/once. Malgré la reprise des exportations au départ de RDC, les volumes restent limités. A ces niveaux, les fonderies chinoises vont opérer à perte, soulignent les opérateurs.</w:t>
      </w:r>
    </w:p>
    <w:p w14:paraId="1060B7EC"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1A"/>
    <w:rsid w:val="00287462"/>
    <w:rsid w:val="00BD4D6F"/>
    <w:rsid w:val="00C04F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C5F7"/>
  <w15:chartTrackingRefBased/>
  <w15:docId w15:val="{A08A4C55-38DC-46F9-83FB-2011DE67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4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4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4F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4F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4F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4F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4F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4F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4F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4F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4F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4F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4F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4F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4F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4F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4F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4F1A"/>
    <w:rPr>
      <w:rFonts w:eastAsiaTheme="majorEastAsia" w:cstheme="majorBidi"/>
      <w:color w:val="272727" w:themeColor="text1" w:themeTint="D8"/>
    </w:rPr>
  </w:style>
  <w:style w:type="paragraph" w:styleId="Titre">
    <w:name w:val="Title"/>
    <w:basedOn w:val="Normal"/>
    <w:next w:val="Normal"/>
    <w:link w:val="TitreCar"/>
    <w:uiPriority w:val="10"/>
    <w:qFormat/>
    <w:rsid w:val="00C04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4F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4F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4F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4F1A"/>
    <w:pPr>
      <w:spacing w:before="160"/>
      <w:jc w:val="center"/>
    </w:pPr>
    <w:rPr>
      <w:i/>
      <w:iCs/>
      <w:color w:val="404040" w:themeColor="text1" w:themeTint="BF"/>
    </w:rPr>
  </w:style>
  <w:style w:type="character" w:customStyle="1" w:styleId="CitationCar">
    <w:name w:val="Citation Car"/>
    <w:basedOn w:val="Policepardfaut"/>
    <w:link w:val="Citation"/>
    <w:uiPriority w:val="29"/>
    <w:rsid w:val="00C04F1A"/>
    <w:rPr>
      <w:i/>
      <w:iCs/>
      <w:color w:val="404040" w:themeColor="text1" w:themeTint="BF"/>
    </w:rPr>
  </w:style>
  <w:style w:type="paragraph" w:styleId="Paragraphedeliste">
    <w:name w:val="List Paragraph"/>
    <w:basedOn w:val="Normal"/>
    <w:uiPriority w:val="34"/>
    <w:qFormat/>
    <w:rsid w:val="00C04F1A"/>
    <w:pPr>
      <w:ind w:left="720"/>
      <w:contextualSpacing/>
    </w:pPr>
  </w:style>
  <w:style w:type="character" w:styleId="Accentuationintense">
    <w:name w:val="Intense Emphasis"/>
    <w:basedOn w:val="Policepardfaut"/>
    <w:uiPriority w:val="21"/>
    <w:qFormat/>
    <w:rsid w:val="00C04F1A"/>
    <w:rPr>
      <w:i/>
      <w:iCs/>
      <w:color w:val="0F4761" w:themeColor="accent1" w:themeShade="BF"/>
    </w:rPr>
  </w:style>
  <w:style w:type="paragraph" w:styleId="Citationintense">
    <w:name w:val="Intense Quote"/>
    <w:basedOn w:val="Normal"/>
    <w:next w:val="Normal"/>
    <w:link w:val="CitationintenseCar"/>
    <w:uiPriority w:val="30"/>
    <w:qFormat/>
    <w:rsid w:val="00C04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4F1A"/>
    <w:rPr>
      <w:i/>
      <w:iCs/>
      <w:color w:val="0F4761" w:themeColor="accent1" w:themeShade="BF"/>
    </w:rPr>
  </w:style>
  <w:style w:type="character" w:styleId="Rfrenceintense">
    <w:name w:val="Intense Reference"/>
    <w:basedOn w:val="Policepardfaut"/>
    <w:uiPriority w:val="32"/>
    <w:qFormat/>
    <w:rsid w:val="00C04F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9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2950</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2025-10-21T04:39:00Z</dcterms:created>
  <dcterms:modified xsi:type="dcterms:W3CDTF">2025-10-21T04:39:00Z</dcterms:modified>
</cp:coreProperties>
</file>